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F400D" w14:textId="77777777" w:rsidR="00221E6F" w:rsidRPr="00F16552" w:rsidRDefault="00221E6F" w:rsidP="00221E6F">
      <w:pPr>
        <w:spacing w:after="0" w:line="360" w:lineRule="auto"/>
        <w:jc w:val="both"/>
        <w:rPr>
          <w:rStyle w:val="verd"/>
          <w:rFonts w:ascii="Arial" w:hAnsi="Arial" w:cs="Arial"/>
          <w:b/>
          <w:sz w:val="20"/>
          <w:szCs w:val="20"/>
        </w:rPr>
      </w:pPr>
      <w:r w:rsidRPr="00442731">
        <w:rPr>
          <w:rStyle w:val="verd"/>
          <w:rFonts w:ascii="Arial" w:hAnsi="Arial" w:cs="Arial"/>
          <w:b/>
          <w:sz w:val="20"/>
          <w:szCs w:val="20"/>
        </w:rPr>
        <w:t>Instrukcja</w:t>
      </w:r>
    </w:p>
    <w:p w14:paraId="77891B05" w14:textId="77777777" w:rsidR="00221E6F" w:rsidRPr="004A13CB" w:rsidRDefault="00221E6F" w:rsidP="00221E6F">
      <w:pPr>
        <w:spacing w:after="0" w:line="360" w:lineRule="auto"/>
        <w:jc w:val="both"/>
        <w:rPr>
          <w:rFonts w:ascii="Arial" w:eastAsiaTheme="majorEastAsia" w:hAnsi="Arial" w:cs="Arial"/>
          <w:b/>
          <w:sz w:val="20"/>
          <w:szCs w:val="20"/>
        </w:rPr>
      </w:pPr>
      <w:r w:rsidRPr="004A13CB">
        <w:rPr>
          <w:rFonts w:ascii="Arial" w:eastAsiaTheme="majorEastAsia" w:hAnsi="Arial" w:cs="Arial"/>
          <w:b/>
          <w:sz w:val="20"/>
          <w:szCs w:val="20"/>
        </w:rPr>
        <w:t>Jak rozliczyć wydatki na spotkania w stylu: wigilie firmowe, imprezy integracyjne, pikniki itp.?</w:t>
      </w:r>
    </w:p>
    <w:p w14:paraId="61DE9769" w14:textId="77777777" w:rsidR="00221E6F" w:rsidRPr="00F16552" w:rsidRDefault="00221E6F" w:rsidP="00221E6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Luiza Pieprzyk</w:t>
      </w:r>
    </w:p>
    <w:p w14:paraId="33637614" w14:textId="77777777" w:rsidR="00221E6F" w:rsidRPr="00F16552" w:rsidRDefault="00221E6F" w:rsidP="00221E6F">
      <w:pPr>
        <w:spacing w:after="0" w:line="360" w:lineRule="auto"/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</w:p>
    <w:p w14:paraId="09B5BC6E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 xml:space="preserve">Integracje, wigilie </w:t>
      </w:r>
      <w:r w:rsidRPr="00F16552">
        <w:rPr>
          <w:rFonts w:ascii="Arial" w:eastAsiaTheme="majorEastAsia" w:hAnsi="Arial" w:cs="Arial"/>
          <w:sz w:val="20"/>
          <w:szCs w:val="20"/>
        </w:rPr>
        <w:t xml:space="preserve">latami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budziły wiele kontrowersji odnośnie </w:t>
      </w:r>
      <w:r>
        <w:rPr>
          <w:rFonts w:ascii="Arial" w:eastAsiaTheme="majorEastAsia" w:hAnsi="Arial" w:cs="Arial"/>
          <w:color w:val="000000"/>
          <w:sz w:val="20"/>
          <w:szCs w:val="20"/>
        </w:rPr>
        <w:t xml:space="preserve">do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kwalifikacji kosztu pod kątem podatkowym i w dalszym ciągu nie jest to jednoznaczne. </w:t>
      </w:r>
      <w:r w:rsidRPr="005E6E10">
        <w:rPr>
          <w:rFonts w:ascii="Arial" w:eastAsiaTheme="majorEastAsia" w:hAnsi="Arial" w:cs="Arial"/>
          <w:bCs/>
          <w:color w:val="000000"/>
          <w:sz w:val="20"/>
          <w:szCs w:val="20"/>
        </w:rPr>
        <w:t>Wigilia firmowa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spełnia definicję kosztów, jeżeli zaplanowanym celem spotkania </w:t>
      </w:r>
      <w:r>
        <w:rPr>
          <w:rFonts w:ascii="Arial" w:eastAsiaTheme="majorEastAsia" w:hAnsi="Arial" w:cs="Arial"/>
          <w:color w:val="000000"/>
          <w:sz w:val="20"/>
          <w:szCs w:val="20"/>
        </w:rPr>
        <w:t>jest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mi.in. polepszenie atmosfery w pracy, zintegrowanie pracowników, zwiększenie u pracowników motywacji do lepszego wykonywania obowiązków itp. Przedsiębiorca powinien mieć jednak świadomość, że </w:t>
      </w:r>
      <w:r w:rsidRPr="00F16552">
        <w:rPr>
          <w:rFonts w:ascii="Arial" w:eastAsiaTheme="majorEastAsia" w:hAnsi="Arial" w:cs="Arial"/>
          <w:bCs/>
          <w:sz w:val="20"/>
          <w:szCs w:val="20"/>
        </w:rPr>
        <w:t>wigilia firmowa jako koszt</w:t>
      </w:r>
      <w:r w:rsidRPr="00F16552">
        <w:rPr>
          <w:rFonts w:ascii="Arial" w:eastAsiaTheme="majorEastAsia" w:hAnsi="Arial" w:cs="Arial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może zostać rozliczona tylko w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określonych sytuacjach.</w:t>
      </w:r>
    </w:p>
    <w:p w14:paraId="1C0A6F4D" w14:textId="77777777" w:rsidR="00221E6F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</w:p>
    <w:p w14:paraId="575C9E4F" w14:textId="77777777" w:rsidR="00221E6F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>Dodatkowy problem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: </w:t>
      </w:r>
      <w:r>
        <w:rPr>
          <w:rFonts w:ascii="Arial" w:eastAsiaTheme="majorEastAsia" w:hAnsi="Arial" w:cs="Arial"/>
          <w:color w:val="000000"/>
          <w:sz w:val="20"/>
          <w:szCs w:val="20"/>
        </w:rPr>
        <w:t>U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czestnictwo w takiej wigilii pracowniczej stanowić będzie dla </w:t>
      </w:r>
      <w:r>
        <w:rPr>
          <w:rFonts w:ascii="Arial" w:eastAsiaTheme="majorEastAsia" w:hAnsi="Arial" w:cs="Arial"/>
          <w:color w:val="000000"/>
          <w:sz w:val="20"/>
          <w:szCs w:val="20"/>
        </w:rPr>
        <w:t>pracownika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przychód podlegający opodatkowaniu? To również nie jest czarno-białe</w:t>
      </w:r>
      <w:r w:rsidRPr="004A13CB">
        <w:rPr>
          <w:rFonts w:ascii="Arial" w:hAnsi="Arial" w:cs="Arial"/>
          <w:sz w:val="20"/>
          <w:szCs w:val="20"/>
        </w:rPr>
        <w:t xml:space="preserve">… </w:t>
      </w:r>
    </w:p>
    <w:p w14:paraId="17322587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5E6E10">
        <w:rPr>
          <w:rFonts w:ascii="Arial" w:hAnsi="Arial" w:cs="Arial"/>
          <w:bCs/>
          <w:sz w:val="20"/>
          <w:szCs w:val="20"/>
        </w:rPr>
        <w:t>Wg interpretacji indywidualnej Dyrektora Krajowej Informacji Skarbowej z dnia 19 września 2019 r.:</w:t>
      </w:r>
      <w:r w:rsidRPr="00F16552">
        <w:rPr>
          <w:rFonts w:ascii="Arial" w:eastAsiaTheme="majorEastAsia" w:hAnsi="Arial" w:cs="Arial"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„Wydatki poniesione przez spółkę na organizację spotkań firmowych, w szczególności w formie pikników rodzinnych, wigilii, balu karnawałowego 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–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 w zakresie dotyczącym podwykonawców spółki oraz członków ich rodzin 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– 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nie mogą zostać uznane za koszty uzyskania przychodów”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.</w:t>
      </w:r>
    </w:p>
    <w:p w14:paraId="79D663F0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</w:p>
    <w:p w14:paraId="30C4DB5C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>Stan faktyczny</w:t>
      </w:r>
    </w:p>
    <w:p w14:paraId="0B2024ED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sz w:val="20"/>
          <w:szCs w:val="20"/>
        </w:rPr>
      </w:pPr>
      <w:r w:rsidRPr="00F16552">
        <w:rPr>
          <w:rFonts w:ascii="Arial" w:eastAsiaTheme="majorEastAsia" w:hAnsi="Arial" w:cs="Arial"/>
          <w:color w:val="000000"/>
          <w:sz w:val="20"/>
          <w:szCs w:val="20"/>
        </w:rPr>
        <w:t>Spółka organizuje dobrowolne spotkania firmowe, w szczególności w formie pikników rodzinnych, wigilii, balu karnawałowego. Podczas wigilii prezes spółki dokonuje podsumowania kończącego się roku.</w:t>
      </w:r>
      <w:r w:rsidRPr="00F16552">
        <w:rPr>
          <w:rFonts w:ascii="Arial" w:eastAsiaTheme="majorEastAsia" w:hAnsi="Arial" w:cs="Arial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W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celu podtrzymywania dobrych, partnerskich i biznesowych relacji zaprasza do uczestnictwa w tych spotkaniach również podwykonawców.</w:t>
      </w:r>
      <w:r w:rsidRPr="00F16552">
        <w:rPr>
          <w:rFonts w:ascii="Arial" w:eastAsiaTheme="majorEastAsia" w:hAnsi="Arial" w:cs="Arial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Zaproszenie ich ma na celu m.in. uzgodnienie nowych planów współpracy, podsumowanie zrealizowanych wspólnie w ostatnim czasie projektów, ogólną troskę o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dobre relacje biznesowe, gdyż zespoły pracujące nad danym projektem w spółce składają się zarówno z osób zatrudnionych na podstawie umowy o pracę, jak i umów-zlecenia. Ze względu na dualizm form zatrudniania szeroko rozumianego personelu firmy spotkania mają również charakter integracyjny.</w:t>
      </w:r>
    </w:p>
    <w:p w14:paraId="6B355D08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</w:p>
    <w:p w14:paraId="793ED9F0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 xml:space="preserve">Pytanie: </w:t>
      </w:r>
      <w:r>
        <w:rPr>
          <w:rFonts w:ascii="Arial" w:eastAsiaTheme="majorEastAsia" w:hAnsi="Arial" w:cs="Arial"/>
          <w:color w:val="000000"/>
          <w:sz w:val="20"/>
          <w:szCs w:val="20"/>
        </w:rPr>
        <w:t>C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zy koszty organizacji spotkań w części przypadającej na członków rodzin pracowników, podwykonawców i członków ich rodzin stanowią w spółce koszty uzyskania przychodów?</w:t>
      </w:r>
    </w:p>
    <w:p w14:paraId="7B3BCAE3" w14:textId="77777777" w:rsidR="00221E6F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</w:p>
    <w:p w14:paraId="3FE36CA9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 xml:space="preserve">Odpowiedź organu: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„Wymienione wydatki związane są niewątpliwie z prowadzoną działalnością podatnika i mają na celu zintegrowanie załogi zakładu, dlatego też pozostają w związku </w:t>
      </w:r>
      <w:proofErr w:type="spellStart"/>
      <w:r w:rsidRPr="00F16552">
        <w:rPr>
          <w:rFonts w:ascii="Arial" w:eastAsiaTheme="majorEastAsia" w:hAnsi="Arial" w:cs="Arial"/>
          <w:color w:val="000000"/>
          <w:sz w:val="20"/>
          <w:szCs w:val="20"/>
        </w:rPr>
        <w:t>przyczynowo-skutkowym</w:t>
      </w:r>
      <w:proofErr w:type="spellEnd"/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z uzyskaniem, zachowaniem lub zabezpieczeniem źródła przychodów i mogą mieć wpływ na wielkość osiąganych przez wnioskodawcę przychodów. Takie świadczenia na rzecz rodzin pracowników budują pozytywne relacje pomiędzy pracownikami i członkami zarządu spółki jako przedstawicielami pracodawcy, zwiększają zaangażowanie pracowników oraz wzmacniają ich lojalność wobec pracodawcy, a także mają działanie motywujące i wpływające na jakość, wydajność oraz efektywność pracy, co dalej przekłada się na wysokość uzyskiwanych przychodów”</w:t>
      </w:r>
      <w:r>
        <w:rPr>
          <w:rFonts w:ascii="Arial" w:eastAsiaTheme="majorEastAsia" w:hAnsi="Arial" w:cs="Arial"/>
          <w:color w:val="000000"/>
          <w:sz w:val="20"/>
          <w:szCs w:val="20"/>
        </w:rPr>
        <w:t>.</w:t>
      </w:r>
    </w:p>
    <w:p w14:paraId="12CC7586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lastRenderedPageBreak/>
        <w:t>Wniosek:</w:t>
      </w:r>
      <w:r w:rsidRPr="0075357B">
        <w:rPr>
          <w:rFonts w:ascii="Arial" w:eastAsiaTheme="majorEastAsia" w:hAnsi="Arial" w:cs="Arial"/>
          <w:sz w:val="20"/>
          <w:szCs w:val="20"/>
        </w:rPr>
        <w:t xml:space="preserve"> T</w:t>
      </w:r>
      <w:r w:rsidRPr="0075357B">
        <w:rPr>
          <w:rFonts w:ascii="Arial" w:eastAsiaTheme="majorEastAsia" w:hAnsi="Arial" w:cs="Arial"/>
          <w:color w:val="000000"/>
          <w:sz w:val="20"/>
          <w:szCs w:val="20"/>
        </w:rPr>
        <w:t>ego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 rodzaju impreza firmowa, jak wskazują organy skarbowe, powinna mieć jasno określony cel motywacyjno-integracyjny, nie zaś konsumpcję lub przebywanie w swojej obecności „jako cel sam w sobie”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.</w:t>
      </w:r>
    </w:p>
    <w:p w14:paraId="48C55F42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</w:p>
    <w:p w14:paraId="56E44F0D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538135" w:themeColor="accent6" w:themeShade="BF"/>
          <w:sz w:val="20"/>
          <w:szCs w:val="20"/>
        </w:rPr>
      </w:pPr>
      <w:r w:rsidRPr="00F16552">
        <w:rPr>
          <w:rFonts w:ascii="Arial" w:eastAsiaTheme="majorEastAsia" w:hAnsi="Arial" w:cs="Arial"/>
          <w:bCs/>
          <w:sz w:val="20"/>
          <w:szCs w:val="20"/>
        </w:rPr>
        <w:t>Jak wynika ze starszej interpretacji Izb</w:t>
      </w:r>
      <w:r>
        <w:rPr>
          <w:rFonts w:ascii="Arial" w:eastAsiaTheme="majorEastAsia" w:hAnsi="Arial" w:cs="Arial"/>
          <w:bCs/>
          <w:sz w:val="20"/>
          <w:szCs w:val="20"/>
        </w:rPr>
        <w:t>y</w:t>
      </w:r>
      <w:r w:rsidRPr="00F16552">
        <w:rPr>
          <w:rFonts w:ascii="Arial" w:eastAsiaTheme="majorEastAsia" w:hAnsi="Arial" w:cs="Arial"/>
          <w:bCs/>
          <w:sz w:val="20"/>
          <w:szCs w:val="20"/>
        </w:rPr>
        <w:t xml:space="preserve"> Skarbow</w:t>
      </w:r>
      <w:r>
        <w:rPr>
          <w:rFonts w:ascii="Arial" w:eastAsiaTheme="majorEastAsia" w:hAnsi="Arial" w:cs="Arial"/>
          <w:bCs/>
          <w:sz w:val="20"/>
          <w:szCs w:val="20"/>
        </w:rPr>
        <w:t>ej</w:t>
      </w:r>
      <w:r w:rsidRPr="00F16552">
        <w:rPr>
          <w:rFonts w:ascii="Arial" w:eastAsiaTheme="majorEastAsia" w:hAnsi="Arial" w:cs="Arial"/>
          <w:bCs/>
          <w:sz w:val="20"/>
          <w:szCs w:val="20"/>
        </w:rPr>
        <w:t xml:space="preserve"> w Warszawie z dnia 11 kwietnia 2012 r.</w:t>
      </w:r>
      <w:r>
        <w:rPr>
          <w:rFonts w:ascii="Arial" w:eastAsiaTheme="majorEastAsia" w:hAnsi="Arial" w:cs="Arial"/>
          <w:bCs/>
          <w:sz w:val="20"/>
          <w:szCs w:val="20"/>
        </w:rPr>
        <w:t>,</w:t>
      </w:r>
      <w:r w:rsidRPr="00F16552">
        <w:rPr>
          <w:rFonts w:ascii="Arial" w:eastAsiaTheme="majorEastAsia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znak: </w:t>
      </w:r>
      <w:r w:rsidRPr="00F16552">
        <w:rPr>
          <w:rFonts w:ascii="Arial" w:eastAsiaTheme="majorEastAsia" w:hAnsi="Arial" w:cs="Arial"/>
          <w:bCs/>
          <w:sz w:val="20"/>
          <w:szCs w:val="20"/>
        </w:rPr>
        <w:t>IPPB5/423-22/12-2/JC:</w:t>
      </w:r>
      <w:r w:rsidRPr="00F16552">
        <w:rPr>
          <w:rFonts w:ascii="Arial" w:eastAsiaTheme="majorEastAsia" w:hAnsi="Arial" w:cs="Arial"/>
          <w:b/>
          <w:bCs/>
          <w:color w:val="000000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„(…) kolacja wigilijna stanie się kosztem podatkowym pod warunkiem</w:t>
      </w:r>
      <w:r>
        <w:rPr>
          <w:rFonts w:ascii="Arial" w:eastAsiaTheme="majorEastAsia" w:hAnsi="Arial" w:cs="Arial"/>
          <w:color w:val="000000"/>
          <w:sz w:val="20"/>
          <w:szCs w:val="20"/>
        </w:rPr>
        <w:t>,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że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przyczyni się do zwiększenia wydajności pracowników, a tym samym powiększenia przychodów dealera. Możemy udowodnić to poprzez przygotowanie choćby krótkiego raportu będącego ogólnym zarysem spotkania i jego celu</w:t>
      </w:r>
      <w:r>
        <w:rPr>
          <w:rFonts w:ascii="Arial" w:eastAsiaTheme="majorEastAsia" w:hAnsi="Arial" w:cs="Arial"/>
          <w:color w:val="000000"/>
          <w:sz w:val="20"/>
          <w:szCs w:val="20"/>
        </w:rPr>
        <w:t>,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 np. integracja zespołu i przedstawienie bieżących wyników”</w:t>
      </w:r>
      <w:r>
        <w:rPr>
          <w:rFonts w:ascii="Arial" w:eastAsiaTheme="majorEastAsia" w:hAnsi="Arial" w:cs="Arial"/>
          <w:color w:val="000000"/>
          <w:sz w:val="20"/>
          <w:szCs w:val="20"/>
        </w:rPr>
        <w:t>.</w:t>
      </w:r>
    </w:p>
    <w:p w14:paraId="0FB98B07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color w:val="000000"/>
          <w:sz w:val="20"/>
          <w:szCs w:val="20"/>
        </w:rPr>
      </w:pPr>
    </w:p>
    <w:p w14:paraId="5C175532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>Wnioski organu</w:t>
      </w:r>
      <w:r w:rsidRPr="00F16552">
        <w:rPr>
          <w:rFonts w:ascii="Arial" w:eastAsiaTheme="majorEastAsia" w:hAnsi="Arial" w:cs="Arial"/>
          <w:b/>
          <w:sz w:val="20"/>
          <w:szCs w:val="20"/>
        </w:rPr>
        <w:t>:</w:t>
      </w:r>
      <w:r w:rsidRPr="00F16552">
        <w:rPr>
          <w:rFonts w:ascii="Arial" w:eastAsiaTheme="majorEastAsia" w:hAnsi="Arial" w:cs="Arial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 xml:space="preserve">„(…) </w:t>
      </w:r>
      <w:r w:rsidRPr="00F16552">
        <w:rPr>
          <w:rFonts w:ascii="Arial" w:eastAsiaTheme="majorEastAsia" w:hAnsi="Arial" w:cs="Arial"/>
          <w:bCs/>
          <w:color w:val="000000"/>
          <w:sz w:val="20"/>
          <w:szCs w:val="20"/>
        </w:rPr>
        <w:t>Jeśli więc firmowa kolacja wigilijna może przyczynić się do zwiększenia wydajności pracowników i ich integracji, a w następstwie rozwoju przedsiębiorstwa, to wydatek można uznać za koszt podatkowy”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.</w:t>
      </w:r>
    </w:p>
    <w:p w14:paraId="062C4E36" w14:textId="77777777" w:rsidR="00221E6F" w:rsidRPr="00F16552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</w:p>
    <w:p w14:paraId="6CC1286F" w14:textId="77777777" w:rsidR="00221E6F" w:rsidRPr="0075357B" w:rsidRDefault="00221E6F" w:rsidP="00221E6F">
      <w:pPr>
        <w:pStyle w:val="Akapitzlist"/>
        <w:spacing w:before="100" w:beforeAutospacing="1" w:after="0" w:line="360" w:lineRule="auto"/>
        <w:ind w:left="0"/>
        <w:jc w:val="both"/>
        <w:rPr>
          <w:rFonts w:ascii="Arial" w:eastAsiaTheme="majorEastAsia" w:hAnsi="Arial" w:cs="Arial"/>
          <w:b/>
          <w:bCs/>
          <w:color w:val="000000"/>
          <w:sz w:val="20"/>
          <w:szCs w:val="20"/>
        </w:rPr>
      </w:pPr>
      <w:r w:rsidRPr="0075357B">
        <w:rPr>
          <w:rFonts w:ascii="Arial" w:eastAsiaTheme="majorEastAsia" w:hAnsi="Arial" w:cs="Arial"/>
          <w:b/>
          <w:bCs/>
          <w:color w:val="000000"/>
          <w:sz w:val="20"/>
          <w:szCs w:val="20"/>
        </w:rPr>
        <w:t>Podstawa prawna</w:t>
      </w:r>
    </w:p>
    <w:p w14:paraId="49391AB7" w14:textId="77777777" w:rsidR="00221E6F" w:rsidRPr="0075357B" w:rsidRDefault="00221E6F" w:rsidP="00221E6F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5357B">
        <w:rPr>
          <w:rFonts w:ascii="Arial" w:hAnsi="Arial" w:cs="Arial"/>
          <w:sz w:val="20"/>
          <w:szCs w:val="20"/>
        </w:rPr>
        <w:t>Interpretacja indywidualna Dyrektora K</w:t>
      </w:r>
      <w:r>
        <w:rPr>
          <w:rFonts w:ascii="Arial" w:hAnsi="Arial" w:cs="Arial"/>
          <w:sz w:val="20"/>
          <w:szCs w:val="20"/>
        </w:rPr>
        <w:t xml:space="preserve">rajowej </w:t>
      </w:r>
      <w:r w:rsidRPr="0075357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nformacji </w:t>
      </w:r>
      <w:r w:rsidRPr="0075357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karbowej</w:t>
      </w:r>
      <w:r w:rsidRPr="0075357B">
        <w:rPr>
          <w:rFonts w:ascii="Arial" w:hAnsi="Arial" w:cs="Arial"/>
          <w:sz w:val="20"/>
          <w:szCs w:val="20"/>
        </w:rPr>
        <w:t xml:space="preserve"> z dnia 19 września 2019 r., </w:t>
      </w:r>
      <w:r>
        <w:rPr>
          <w:rFonts w:ascii="Arial" w:hAnsi="Arial" w:cs="Arial"/>
          <w:sz w:val="20"/>
          <w:szCs w:val="20"/>
        </w:rPr>
        <w:t>znak:</w:t>
      </w:r>
      <w:r w:rsidRPr="0075357B">
        <w:rPr>
          <w:rFonts w:ascii="Arial" w:hAnsi="Arial" w:cs="Arial"/>
          <w:sz w:val="20"/>
          <w:szCs w:val="20"/>
        </w:rPr>
        <w:t xml:space="preserve"> 0111-KDIB1-3.4010.309.2019.3.MBD</w:t>
      </w:r>
      <w:r>
        <w:rPr>
          <w:rFonts w:ascii="Arial" w:hAnsi="Arial" w:cs="Arial"/>
          <w:sz w:val="20"/>
          <w:szCs w:val="20"/>
        </w:rPr>
        <w:t>.</w:t>
      </w:r>
    </w:p>
    <w:p w14:paraId="2EC2CA01" w14:textId="77777777" w:rsidR="00221E6F" w:rsidRPr="0075357B" w:rsidRDefault="00221E6F" w:rsidP="00221E6F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Theme="majorEastAsia" w:hAnsi="Arial" w:cs="Arial"/>
          <w:bCs/>
          <w:color w:val="000000"/>
          <w:sz w:val="20"/>
          <w:szCs w:val="20"/>
        </w:rPr>
      </w:pPr>
      <w:r w:rsidRPr="0075357B">
        <w:rPr>
          <w:rFonts w:ascii="Arial" w:hAnsi="Arial" w:cs="Arial"/>
          <w:sz w:val="20"/>
          <w:szCs w:val="20"/>
        </w:rPr>
        <w:t>Interpretacja indywidualna Dyrektora K</w:t>
      </w:r>
      <w:r>
        <w:rPr>
          <w:rFonts w:ascii="Arial" w:hAnsi="Arial" w:cs="Arial"/>
          <w:sz w:val="20"/>
          <w:szCs w:val="20"/>
        </w:rPr>
        <w:t xml:space="preserve">rajowej </w:t>
      </w:r>
      <w:r w:rsidRPr="0075357B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nformacji </w:t>
      </w:r>
      <w:r w:rsidRPr="0075357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karbowej</w:t>
      </w:r>
      <w:r w:rsidRPr="0075357B">
        <w:rPr>
          <w:rFonts w:ascii="Arial" w:eastAsiaTheme="majorEastAsia" w:hAnsi="Arial" w:cs="Arial"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75357B">
        <w:rPr>
          <w:rFonts w:ascii="Arial" w:eastAsiaTheme="majorEastAsia" w:hAnsi="Arial" w:cs="Arial"/>
          <w:bCs/>
          <w:color w:val="000000"/>
          <w:sz w:val="20"/>
          <w:szCs w:val="20"/>
        </w:rPr>
        <w:t>z dnia 11 kwietnia 2012 r., Izba Skarbowa w Warszawie</w:t>
      </w:r>
      <w:r>
        <w:rPr>
          <w:rFonts w:ascii="Arial" w:eastAsiaTheme="majorEastAsia" w:hAnsi="Arial" w:cs="Arial"/>
          <w:bCs/>
          <w:color w:val="000000"/>
          <w:sz w:val="20"/>
          <w:szCs w:val="20"/>
        </w:rPr>
        <w:t>,</w:t>
      </w:r>
      <w:r w:rsidRPr="0075357B">
        <w:rPr>
          <w:rFonts w:ascii="Arial" w:eastAsiaTheme="majorEastAsia" w:hAnsi="Arial" w:cs="Arial"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znak: </w:t>
      </w:r>
      <w:r w:rsidRPr="0075357B">
        <w:rPr>
          <w:rFonts w:ascii="Arial" w:eastAsiaTheme="majorEastAsia" w:hAnsi="Arial" w:cs="Arial"/>
          <w:bCs/>
          <w:color w:val="000000"/>
          <w:sz w:val="20"/>
          <w:szCs w:val="20"/>
        </w:rPr>
        <w:t>IPPB5/423-22/12-2/JC.</w:t>
      </w:r>
    </w:p>
    <w:p w14:paraId="2226F493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A6342A"/>
    <w:multiLevelType w:val="hybridMultilevel"/>
    <w:tmpl w:val="FB687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FBC"/>
    <w:rsid w:val="00221E6F"/>
    <w:rsid w:val="0054151C"/>
    <w:rsid w:val="00803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895FF4-221D-4F82-9E45-115F82559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1E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21E6F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221E6F"/>
  </w:style>
  <w:style w:type="character" w:customStyle="1" w:styleId="verd">
    <w:name w:val="verd"/>
    <w:basedOn w:val="Domylnaczcionkaakapitu"/>
    <w:rsid w:val="0022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3479</Characters>
  <Application>Microsoft Office Word</Application>
  <DocSecurity>0</DocSecurity>
  <Lines>28</Lines>
  <Paragraphs>8</Paragraphs>
  <ScaleCrop>false</ScaleCrop>
  <Company>Forum Media Polska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2024-08-08T11:55:00Z</dcterms:created>
  <dcterms:modified xsi:type="dcterms:W3CDTF">2024-08-08T11:55:00Z</dcterms:modified>
</cp:coreProperties>
</file>